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REGULAMENT DE ORGANIZARE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Târg organizat cu ocazia Ziua Copilului 2023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1. Denumirea evenimentului: Târg de Ziua Copilului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2. Organizatorul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evenimentului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: Casa de Cultură Kónya Ádám cu sediul în municipiul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Sfântu Gheorghe, str. Kossuth Lajos nr. 13, jud. Covasna.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3. Perioada de desfășurare: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a. Perioada de înscriere:08.05 2023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-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21.05 2023, online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până la ora 00:00.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b. Data evaluării formularelor de înscriere:  22.0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5.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2023.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c. Comunicarea rezultatelor: 2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. – 2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. mai  2023.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d. Desfășurarea târgului: 1 iunie 2023 orele 9:00-20:00.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4. Locul de desfășurare al Târgului: Piața Libertății, Sfântu Gheorghe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5. Categorii de participanți: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a. meşteşugari, meșteri, artizani;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b. mici producători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c. comercianţi (cărți, jucării, alte produse comercializate care nu constituie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producție proprie;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d. unități mici de alimentaţie publică sub 3 mp (popcorn, porumb fiert, limonadă,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înghețată, etc);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e. unități de alimentaţie publică: kürtőskalács, lángos, fast-food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6. Locuri disponibile: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a. meşteşugari, meșteri, artizani, mici producători: 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50 locuri -stand de lemn asigurat de către organizator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15 locuri -cort alb 3*3 m, asigurat de către participant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b. comercianţi (cărți și alte produse comercializate care nu constituie producție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proprie):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 6 locuri -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cort alb 3*3 m, asigurat de către participant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c. unități mici de alimentaţie publică sub 3 mp (popcorn, porumb fiert, gogoși,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limonadă, înghețată, etc):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 5 locuri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d. unități de alimentaţie publică: 3 locuri kürtőskalács, lángos 3x3 mp, 1 loc fast-food 3x3 mp.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7. Procedură de înscriere: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La Târg se pot înscrie persoane juridice (P.F.A., I.I., I.F., S.R.L, S.R.L.-D., S.A., Asociaţie, 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Fundaţie) și persoane fizice având atestat de producător valabil.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Unitățile de alimentație publică, pe locurile disponibile, vor fi acceptate în ordine cronologică.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Dosarul de înscriere trebuie să conțină următoarele documente: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a.􀀂Formular de înscriere completat (formularul se poate accesa pe pagina 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www.kultura.ro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b.􀀂Copie după certificatul de înregistrare a persoanei juridice sau după atestatul de 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producător, după caz. (vizibil) 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c.􀀂documentele de înregistrare/autorizare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sanitar-veterinară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 ; 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Documentele de înregistrare, autorizarea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sanitar-veterinară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, certificatele de înregistrare, atestatele de producător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pot fi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 înc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ărcate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 la formularul de înscriere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8. Selecția participanților: 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Dosarele de înscriere vor fi verificate de către o comisie formată din 3 membri.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Participanții admiși la târg vor ocupa locurile desemnate de către organizator.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 Decizia comisiei, referitor la participare respectiv la locurile desemnate, nu poate fi contestată.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9. Criterii de selecție: 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a.􀀂Produsele oferite trebuie să corespundă tematicii Târgului de Ziua Copilului. 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b.􀀂Dosarul de înscriere trebuie să fie complet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ă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c.􀀂Participantul nu a încălcat regulamentul de organizare a târgurilor desfășurate 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de către organizator în perioada 01.06.2020-01.06.2022 și nu figurează pe lista 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participanților excluși de la târguri. 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Persoanele înscrise care nu corespund cumulativ celor trei criterii de selecție, nu vor fi 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admiși la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t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ârg. Rezultatele selecției vor fi afișate pe pagina www.kultura.ro și la Casa 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de Cultură Kónya Ádám , strada 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Kossuth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 Lajos, nr. 13. 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10. Taxa de participare: 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Conform procesului-verbal nr. 962/11.11.2016 al Adunării Consiliului Consultativ 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al Casei de Cultură Kónya Ádám taxele de participare la târg sunt următoarele : </w:t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a.􀀂meşteşugari, meșteri, artizani, mici producători: 30 lei/zi 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b.􀀂comercianţi (cărți, jucării, alte produse comercializate care nu constituie 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producție proprie): 50 lei/zi 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c.􀀂unități mici de alimentaţie publică sub 3 mp (popcorn, porumb fiert, gogoși, 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limonadă, înghețată, etc): 50 lei/zi 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d. unități de alimentaţie publică: kürtőskalács, lángos 3x3 mp, fast-food 3x3 mp 50 lei/zi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Taxele de participare se achită în numerar pe bază de chitanță la Biroul de 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Organizare Evenimente Culturale în data de 01.06.2023.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10. Codul de conduită al participanților la târg: 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Participanții la târg trebuie să respecte următoarele reguli cu ocazia Târgului: 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1.􀀂Participanții la târg vor respecta programul de funcționare al târgului, 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respectiv: supravegherea și funcționarea standului: 9:00-20:00. 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2.􀀂Accesul pe Piața Libertății cu autoturisme este permis exclusiv în intervalul 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orar 22:00-07:00. 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3.􀀂Participanții la târg răspund pentru conservarea standurilor de lemn 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asigurate de către organizator în starea lor avută la primirea în folosință. În 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cazul distrugerii standului participantul va plăti integral valoarea acestuia 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sau costurile de reparații după caz. 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4.􀀂Participanții la târg vor respecta prevederile legale în vigoare referitoare la 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activitatea desfășurată în cadrul târgului. 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5.􀀂Participanții la târg vor avea în permanenţă o atitudine profesionistă, 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amiabilă şi politicoasă către clienți și organizatorii Târgului. 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6.􀀂Locurile ocupate de către participanți vor fi lăsate curate, deșeurile produse 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în timpul Târgului vor fi depuse la punctele speciale de colectare ale 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deșeurilor din incinta evenimentului. Participanții au obligația de a înlătura 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orice fel de murdărie produsă în urma desfășurării activității proprii de pe 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pavajul zonei pietonale. În caz contrar este obligat să suporte cheltuielile 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legate de curățarea suprafeței utilizate. 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7.􀀂Participanții la târg vor realiza decorațiunea standului potrivit tematicii a 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Târgului de Ziua Copilului. 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8.􀀂Participanții la târg vor putea să vinde obiectele conform tematicii respective, 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în caz contrar organizatorul târgului are dreptul să blocheze vânzarea 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produselor neadaptate regulamentului. </w:t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9.􀀂Participanții care nu respectă codul de conduită nu vor fi admiși la târguri 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desfășurate de către organizator timp de 2 ani, respectiv până la data de 1 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septembrie 2025 și vor fi introduși pe lista participanților excluși de la 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târgurile desfășurate de către organizator. 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10.􀀂Produsele pot fi oferite în mod exclusiv în ustensile de mâncat și de băut și în 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ambalaje biodegradabile sau compostabile. 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11. Informații: 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Informaţii suplimentare se pot obţine la Biroul de Organizare Evenimente Culturale sau 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vertAlign w:val="baseline"/>
          <w:rtl w:val="0"/>
        </w:rPr>
        <w:t xml:space="preserve">la numărul de telefon 0267 312 104 și pe pagina web www.kultura.ro. 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Palatino Linotype" w:cs="Palatino Linotype" w:eastAsia="Palatino Linotype" w:hAnsi="Palatino Linotype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417" w:right="1417" w:header="51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ucida Sans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jc w:val="center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94" w:line="244" w:lineRule="auto"/>
      <w:ind w:left="7702" w:right="202" w:hanging="258.9999999999998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25a69"/>
        <w:sz w:val="12"/>
        <w:szCs w:val="12"/>
        <w:u w:val="none"/>
        <w:shd w:fill="auto" w:val="clear"/>
        <w:vertAlign w:val="baseline"/>
        <w:rtl w:val="0"/>
      </w:rPr>
      <w:t xml:space="preserve">520009 – Sfântu Gheorghe Str. Kossuth Lajos nr. 13 Tel. +40 267 352 460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38100</wp:posOffset>
              </wp:positionV>
              <wp:extent cx="959485" cy="54864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65600" y="3505025"/>
                        <a:ext cx="959485" cy="548640"/>
                        <a:chOff x="4865600" y="3505025"/>
                        <a:chExt cx="959525" cy="548675"/>
                      </a:xfrm>
                    </wpg:grpSpPr>
                    <wpg:grpSp>
                      <wpg:cNvGrpSpPr/>
                      <wpg:grpSpPr>
                        <a:xfrm>
                          <a:off x="4865623" y="3505045"/>
                          <a:ext cx="959485" cy="548640"/>
                          <a:chOff x="1506" y="76"/>
                          <a:chExt cx="1511" cy="86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07" y="77"/>
                            <a:ext cx="150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506" y="76"/>
                            <a:ext cx="1511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1864" y="462"/>
                            <a:ext cx="623" cy="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6.9999998807907104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63a9bb"/>
                                  <w:sz w:val="4"/>
                                  <w:vertAlign w:val="baseline"/>
                                </w:rPr>
                                <w:t xml:space="preserve">C A S A D E C U L T U R Ă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38100</wp:posOffset>
              </wp:positionV>
              <wp:extent cx="959485" cy="5486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9485" cy="548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202" w:firstLine="0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25a69"/>
        <w:sz w:val="12"/>
        <w:szCs w:val="12"/>
        <w:u w:val="none"/>
        <w:shd w:fill="auto" w:val="clear"/>
        <w:vertAlign w:val="baseline"/>
        <w:rtl w:val="0"/>
      </w:rPr>
      <w:t xml:space="preserve">email: </w:t>
    </w:r>
    <w:hyperlink r:id="rId3"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25a69"/>
          <w:sz w:val="12"/>
          <w:szCs w:val="12"/>
          <w:u w:val="none"/>
          <w:shd w:fill="auto" w:val="clear"/>
          <w:vertAlign w:val="baseline"/>
          <w:rtl w:val="0"/>
        </w:rPr>
        <w:t xml:space="preserve">muvhaz@planet.ro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3" w:line="240" w:lineRule="auto"/>
      <w:ind w:left="0" w:right="202" w:firstLine="0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4"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25a69"/>
          <w:sz w:val="12"/>
          <w:szCs w:val="12"/>
          <w:u w:val="none"/>
          <w:shd w:fill="auto" w:val="clear"/>
          <w:vertAlign w:val="baseline"/>
          <w:rtl w:val="0"/>
        </w:rPr>
        <w:t xml:space="preserve">www.kultur.ro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8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tabs>
        <w:tab w:val="left" w:leader="none" w:pos="1933"/>
        <w:tab w:val="left" w:leader="none" w:pos="9098"/>
      </w:tabs>
      <w:ind w:left="707" w:firstLine="0"/>
      <w:rPr>
        <w:rFonts w:ascii="Arial" w:cs="Arial" w:eastAsia="Arial" w:hAnsi="Arial"/>
        <w:b w:val="0"/>
        <w:sz w:val="5"/>
        <w:szCs w:val="5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63a9bb"/>
        <w:sz w:val="5"/>
        <w:szCs w:val="5"/>
        <w:vertAlign w:val="baseline"/>
        <w:rtl w:val="0"/>
      </w:rPr>
      <w:t xml:space="preserve">M Ű V E L Ő D É S I   H Á Z</w:t>
      <w:tab/>
    </w:r>
    <w:r w:rsidDel="00000000" w:rsidR="00000000" w:rsidRPr="00000000">
      <w:rPr>
        <w:rFonts w:ascii="Arial" w:cs="Arial" w:eastAsia="Arial" w:hAnsi="Arial"/>
        <w:b w:val="1"/>
        <w:color w:val="63a9bb"/>
        <w:sz w:val="5"/>
        <w:szCs w:val="5"/>
        <w:u w:val="single"/>
        <w:vertAlign w:val="baseline"/>
        <w:rtl w:val="0"/>
      </w:rPr>
      <w:t xml:space="preserve"> 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ind w:left="-540" w:firstLine="0"/>
      <w:jc w:val="center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hu-HU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hu-HU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hu-HU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hu-HU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hu-HU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u-HU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hu-HU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hu-HU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hu-HU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Header">
    <w:name w:val="Header"/>
    <w:basedOn w:val="Normal"/>
    <w:next w:val="Header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hu-HU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hu-HU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color w:val="auto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Sans" w:eastAsia="Lucida Sans" w:hAnsi="Lucida Sans"/>
      <w:color w:val="auto"/>
      <w:w w:val="100"/>
      <w:position w:val="-1"/>
      <w:sz w:val="12"/>
      <w:szCs w:val="12"/>
      <w:effect w:val="none"/>
      <w:vertAlign w:val="baseline"/>
      <w:cs w:val="0"/>
      <w:em w:val="none"/>
      <w:lang w:bidi="ar-SA" w:eastAsia="und" w:val="und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Lucida Sans" w:cs="Lucida Sans" w:eastAsia="Lucida Sans" w:hAnsi="Lucida Sans"/>
      <w:w w:val="100"/>
      <w:position w:val="-1"/>
      <w:sz w:val="12"/>
      <w:szCs w:val="1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muvhaz@planet.ro" TargetMode="External"/><Relationship Id="rId4" Type="http://schemas.openxmlformats.org/officeDocument/2006/relationships/hyperlink" Target="http://www.kultur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bpywjFHMxfmWnbR0VaZ2DMpPeg==">AMUW2mXSDlmneI0CJHvyYS+Bi/2O2F7jcIAn+hUcVanJnAQ9+tMVCA+gD83TmuDnx9uaijuYnUa8anaIu/zlPQtBeBmKrH7Wfls0EcOo+g7wuRgsXjKSwc/f8jJfYG4uzWuE87iOn9Ti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2023-04-05T06:04:00Z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